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firstLine="720"/>
        <w:rPr>
          <w:rFonts w:ascii="Times New Roman" w:hAnsi="Times New Roman" w:cs="Times New Roman"/>
          <w:b/>
          <w:sz w:val="24"/>
          <w:szCs w:val="24"/>
        </w:rPr>
      </w:pPr>
      <w:r>
        <w:rPr>
          <w:rFonts w:ascii="Times New Roman" w:hAnsi="Times New Roman" w:cs="Times New Roman"/>
          <w:b/>
          <w:sz w:val="24"/>
          <w:szCs w:val="24"/>
        </w:rPr>
        <w:t>Virtual Bacterial Transformation Lab Extension</w:t>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Student’s Name</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Student’s Affiliation</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Instructor</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Course</w:t>
      </w:r>
    </w:p>
    <w:p>
      <w:pPr>
        <w:jc w:val="both"/>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 xml:space="preserve">Date </w:t>
      </w:r>
    </w:p>
    <w:p>
      <w:pPr>
        <w:ind w:firstLine="720"/>
        <w:rPr>
          <w:rFonts w:ascii="Times New Roman" w:hAnsi="Times New Roman" w:cs="Times New Roman"/>
          <w:b/>
          <w:sz w:val="24"/>
          <w:szCs w:val="24"/>
        </w:rPr>
      </w:pPr>
    </w:p>
    <w:p>
      <w:pPr>
        <w:ind w:firstLine="720"/>
        <w:rPr>
          <w:rFonts w:ascii="Times New Roman" w:hAnsi="Times New Roman" w:cs="Times New Roman"/>
          <w:b/>
          <w:sz w:val="24"/>
          <w:szCs w:val="24"/>
        </w:rPr>
      </w:pPr>
    </w:p>
    <w:p>
      <w:pPr>
        <w:ind w:firstLine="720"/>
        <w:rPr>
          <w:rFonts w:ascii="Times New Roman" w:hAnsi="Times New Roman" w:cs="Times New Roman"/>
          <w:b/>
          <w:sz w:val="24"/>
          <w:szCs w:val="24"/>
        </w:rPr>
      </w:pPr>
    </w:p>
    <w:p>
      <w:pPr>
        <w:ind w:firstLine="720"/>
        <w:rPr>
          <w:rFonts w:ascii="Times New Roman" w:hAnsi="Times New Roman" w:cs="Times New Roman"/>
          <w:b/>
          <w:sz w:val="24"/>
          <w:szCs w:val="24"/>
        </w:rPr>
      </w:pPr>
    </w:p>
    <w:p>
      <w:pPr>
        <w:rPr>
          <w:rFonts w:ascii="Times New Roman" w:hAnsi="Times New Roman" w:cs="Times New Roman"/>
          <w:b/>
          <w:sz w:val="24"/>
          <w:szCs w:val="24"/>
        </w:rPr>
      </w:pPr>
    </w:p>
    <w:p>
      <w:pPr>
        <w:ind w:firstLine="720"/>
        <w:rPr>
          <w:rFonts w:ascii="Times New Roman" w:hAnsi="Times New Roman" w:cs="Times New Roman"/>
          <w:b/>
          <w:sz w:val="24"/>
          <w:szCs w:val="24"/>
        </w:rPr>
      </w:pPr>
      <w:r>
        <w:rPr>
          <w:rFonts w:ascii="Times New Roman" w:hAnsi="Times New Roman" w:cs="Times New Roman"/>
          <w:b/>
          <w:sz w:val="24"/>
          <w:szCs w:val="24"/>
        </w:rPr>
        <w:t>VIRTUAL BACTERIA TRANSFORMATION LAB EXTENSION</w:t>
      </w:r>
    </w:p>
    <w:p>
      <w:pPr>
        <w:ind w:firstLine="720"/>
        <w:rPr>
          <w:rFonts w:ascii="Times New Roman" w:hAnsi="Times New Roman" w:cs="Times New Roman"/>
          <w:b/>
          <w:sz w:val="24"/>
          <w:szCs w:val="24"/>
        </w:rPr>
      </w:pPr>
      <w:r>
        <w:rPr>
          <w:rFonts w:ascii="Times New Roman" w:hAnsi="Times New Roman" w:cs="Times New Roman"/>
          <w:b/>
          <w:sz w:val="24"/>
          <w:szCs w:val="24"/>
        </w:rPr>
        <w:t>BACKGROUND INFORMATION</w:t>
      </w:r>
    </w:p>
    <w:p>
      <w:pPr>
        <w:rPr>
          <w:rFonts w:ascii="Times New Roman" w:hAnsi="Times New Roman" w:cs="Times New Roman"/>
          <w:sz w:val="24"/>
          <w:szCs w:val="24"/>
        </w:rPr>
      </w:pPr>
      <w:r>
        <w:rPr>
          <w:rFonts w:ascii="Times New Roman" w:hAnsi="Times New Roman" w:cs="Times New Roman"/>
          <w:sz w:val="24"/>
          <w:szCs w:val="24"/>
        </w:rPr>
        <w:t>The green fluorescent protein (GFP) is obtained from Aequorea victoria</w:t>
      </w:r>
      <w:r>
        <w:rPr>
          <w:rFonts w:ascii="Times New Roman" w:hAnsi="Times New Roman" w:cs="Times New Roman"/>
          <w:i/>
          <w:sz w:val="24"/>
          <w:szCs w:val="24"/>
        </w:rPr>
        <w:t xml:space="preserve"> </w:t>
      </w:r>
      <w:r>
        <w:rPr>
          <w:rFonts w:ascii="Times New Roman" w:hAnsi="Times New Roman" w:cs="Times New Roman"/>
          <w:sz w:val="24"/>
          <w:szCs w:val="24"/>
        </w:rPr>
        <w:t>jellyfish; it is a commonly used and designed reporter and has found many cell biology and biochemistry applications. It is a fast and straightforward tool used for analyzing promoter strengths. GFP variants are employed to analyze protein stability in haloarchaea and cannot be used to quantify promoter activities due to a low fluorescence signal ( Born &amp; Pfeifer, 2019).</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GFP and some of its mutants have an intrinsic fluorophore that re-produces light in the visible continuum of colours, making this technology find its applications in biotechnology and several other scientific fields. This reporter is used as a protein blending reporter in diverse types of cells for imaging and identification of essential cell processes like gene manifestation, location of proteins, and other interactions like that of a host and a parasite. When used, the protein in question maintains its original functions while expressing the fluorescence gene obtained from GFP. This gene can be annealed to a protein either from its N-terminus or the C-terminus (Wons </w:t>
      </w:r>
      <w:r>
        <w:rPr>
          <w:rFonts w:ascii="Times New Roman" w:hAnsi="Times New Roman" w:cs="Times New Roman"/>
          <w:i/>
          <w:sz w:val="24"/>
          <w:szCs w:val="24"/>
        </w:rPr>
        <w:t>et al</w:t>
      </w:r>
      <w:r>
        <w:rPr>
          <w:rFonts w:ascii="Times New Roman" w:hAnsi="Times New Roman" w:cs="Times New Roman"/>
          <w:sz w:val="24"/>
          <w:szCs w:val="24"/>
        </w:rPr>
        <w:t>., 2018).</w:t>
      </w:r>
    </w:p>
    <w:p>
      <w:pPr>
        <w:ind w:firstLine="720"/>
        <w:rPr>
          <w:rFonts w:ascii="Times New Roman" w:hAnsi="Times New Roman" w:cs="Times New Roman"/>
          <w:b/>
          <w:sz w:val="24"/>
          <w:szCs w:val="24"/>
        </w:rPr>
      </w:pPr>
      <w:r>
        <w:rPr>
          <w:rFonts w:ascii="Times New Roman" w:hAnsi="Times New Roman" w:cs="Times New Roman"/>
          <w:b/>
          <w:sz w:val="24"/>
          <w:szCs w:val="24"/>
        </w:rPr>
        <w:t>Hypothesis</w:t>
      </w:r>
    </w:p>
    <w:p>
      <w:pPr>
        <w:rPr>
          <w:rFonts w:ascii="Times New Roman" w:hAnsi="Times New Roman" w:cs="Times New Roman"/>
          <w:sz w:val="24"/>
          <w:szCs w:val="24"/>
        </w:rPr>
      </w:pPr>
      <w:r>
        <w:rPr>
          <w:rFonts w:ascii="Times New Roman" w:hAnsi="Times New Roman" w:cs="Times New Roman"/>
          <w:sz w:val="24"/>
          <w:szCs w:val="24"/>
        </w:rPr>
        <w:t>Effects of different types of promoter sequences on gene expression.</w:t>
      </w:r>
    </w:p>
    <w:p>
      <w:pPr>
        <w:ind w:firstLine="720"/>
        <w:rPr>
          <w:rFonts w:ascii="Times New Roman" w:hAnsi="Times New Roman" w:cs="Times New Roman"/>
          <w:b/>
          <w:sz w:val="24"/>
          <w:szCs w:val="24"/>
          <w:shd w:val="clear" w:color="auto" w:fill="auto"/>
        </w:rPr>
      </w:pPr>
      <w:r>
        <w:rPr>
          <w:rFonts w:ascii="Times New Roman" w:hAnsi="Times New Roman" w:cs="Times New Roman"/>
          <w:b/>
          <w:sz w:val="24"/>
          <w:szCs w:val="24"/>
          <w:shd w:val="clear" w:color="auto" w:fill="auto"/>
        </w:rPr>
        <w:t xml:space="preserve">The </w:t>
      </w:r>
      <w:r>
        <w:rPr>
          <w:rFonts w:hint="default" w:ascii="Times New Roman" w:hAnsi="Times New Roman" w:cs="Times New Roman"/>
          <w:b/>
          <w:sz w:val="24"/>
          <w:szCs w:val="24"/>
          <w:shd w:val="clear" w:color="auto" w:fill="auto"/>
          <w:lang w:val="en-US"/>
        </w:rPr>
        <w:t>D</w:t>
      </w:r>
      <w:r>
        <w:rPr>
          <w:rFonts w:ascii="Times New Roman" w:hAnsi="Times New Roman" w:cs="Times New Roman"/>
          <w:b/>
          <w:sz w:val="24"/>
          <w:szCs w:val="24"/>
          <w:shd w:val="clear" w:color="auto" w:fill="auto"/>
        </w:rPr>
        <w:t xml:space="preserve">escription of the </w:t>
      </w:r>
      <w:r>
        <w:rPr>
          <w:rFonts w:hint="default" w:ascii="Times New Roman" w:hAnsi="Times New Roman" w:cs="Times New Roman"/>
          <w:b/>
          <w:sz w:val="24"/>
          <w:szCs w:val="24"/>
          <w:shd w:val="clear" w:color="auto" w:fill="auto"/>
          <w:lang w:val="en-US"/>
        </w:rPr>
        <w:t>E</w:t>
      </w:r>
      <w:r>
        <w:rPr>
          <w:rFonts w:ascii="Times New Roman" w:hAnsi="Times New Roman" w:cs="Times New Roman"/>
          <w:b/>
          <w:sz w:val="24"/>
          <w:szCs w:val="24"/>
          <w:shd w:val="clear" w:color="auto" w:fill="auto"/>
        </w:rPr>
        <w:t>xperiment.</w:t>
      </w:r>
    </w:p>
    <w:p>
      <w:pPr>
        <w:tabs>
          <w:tab w:val="left" w:pos="5927"/>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In the experiment, the activity of the three promoters, part A, pmtrB, and pmtrC, will be monitored by using the GFP promoter combinations and by measuring the fluorescence and the absorbances of E.coli in a mid-exponential phase. The experiment will be set up as follows: 0.5ml amount of E.coli from a fresh, overnight culture will be added to lysogeny broth, LB, and M9+0.4%glucose medium added by 0.025% yeast extract. The medium pH set at 5.   The absorbance of the cells will be measured using a spectrophotometer. The cells are then transferred to an incubator shaker and cultured at 250 rpm and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till they reach the optical density. The fluorescence and absorbance dimensions are taken to determine microbial progress and assess the promoter action. The control for this experiment is the same setup without the yeast and another one with the yeast but no bacteria (Martinez-Vaz </w:t>
      </w:r>
      <w:r>
        <w:rPr>
          <w:rFonts w:ascii="Times New Roman" w:hAnsi="Times New Roman" w:cs="Times New Roman"/>
          <w:i/>
          <w:sz w:val="24"/>
          <w:szCs w:val="24"/>
        </w:rPr>
        <w:t>et al.,</w:t>
      </w:r>
      <w:r>
        <w:rPr>
          <w:rFonts w:ascii="Times New Roman" w:hAnsi="Times New Roman" w:cs="Times New Roman"/>
          <w:sz w:val="24"/>
          <w:szCs w:val="24"/>
        </w:rPr>
        <w:t xml:space="preserve"> 2010).</w:t>
      </w:r>
    </w:p>
    <w:p>
      <w:pPr>
        <w:tabs>
          <w:tab w:val="left" w:pos="5927"/>
        </w:tabs>
        <w:rPr>
          <w:rFonts w:ascii="Times New Roman" w:hAnsi="Times New Roman" w:cs="Times New Roman"/>
          <w:b/>
          <w:sz w:val="24"/>
          <w:szCs w:val="24"/>
        </w:rPr>
      </w:pPr>
      <w:r>
        <w:rPr>
          <w:rFonts w:ascii="Times New Roman" w:hAnsi="Times New Roman" w:cs="Times New Roman"/>
          <w:b/>
          <w:sz w:val="24"/>
          <w:szCs w:val="24"/>
        </w:rPr>
        <w:t>Title of the chart</w:t>
      </w:r>
    </w:p>
    <w:p>
      <w:pPr>
        <w:tabs>
          <w:tab w:val="left" w:pos="5927"/>
        </w:tabs>
        <w:rPr>
          <w:rFonts w:ascii="Times New Roman" w:hAnsi="Times New Roman" w:cs="Times New Roman"/>
          <w:sz w:val="24"/>
          <w:szCs w:val="24"/>
        </w:rPr>
      </w:pPr>
      <w:r>
        <w:rPr>
          <w:rFonts w:ascii="Times New Roman" w:hAnsi="Times New Roman" w:cs="Times New Roman"/>
          <w:sz w:val="24"/>
          <w:szCs w:val="24"/>
        </w:rPr>
        <w:t xml:space="preserve">         Fluorescence of various promoter sequences in different culture mediums.</w:t>
      </w:r>
    </w:p>
    <w:p>
      <w:pPr>
        <w:tabs>
          <w:tab w:val="left" w:pos="5927"/>
        </w:tabs>
        <w:rPr>
          <w:rFonts w:ascii="Times New Roman" w:hAnsi="Times New Roman" w:cs="Times New Roman"/>
          <w:b/>
          <w:sz w:val="24"/>
          <w:szCs w:val="24"/>
        </w:rPr>
      </w:pPr>
      <w:r>
        <w:rPr>
          <w:rFonts w:ascii="Times New Roman" w:hAnsi="Times New Roman" w:cs="Times New Roman"/>
          <w:b/>
          <w:sz w:val="24"/>
          <w:szCs w:val="24"/>
        </w:rPr>
        <w:t xml:space="preserve">Label of Y-axis </w:t>
      </w:r>
    </w:p>
    <w:p>
      <w:pPr>
        <w:tabs>
          <w:tab w:val="left" w:pos="5927"/>
        </w:tabs>
        <w:rPr>
          <w:rFonts w:ascii="Times New Roman" w:hAnsi="Times New Roman" w:cs="Times New Roman"/>
          <w:sz w:val="24"/>
          <w:szCs w:val="24"/>
        </w:rPr>
      </w:pPr>
      <w:r>
        <w:rPr>
          <w:rFonts w:ascii="Times New Roman" w:hAnsi="Times New Roman" w:cs="Times New Roman"/>
          <w:sz w:val="24"/>
          <w:szCs w:val="24"/>
        </w:rPr>
        <w:t xml:space="preserve">             Quantity of fluorescence</w:t>
      </w:r>
    </w:p>
    <w:p>
      <w:pPr>
        <w:tabs>
          <w:tab w:val="left" w:pos="5927"/>
        </w:tabs>
        <w:rPr>
          <w:rFonts w:ascii="Times New Roman" w:hAnsi="Times New Roman" w:cs="Times New Roman"/>
          <w:b/>
          <w:sz w:val="24"/>
          <w:szCs w:val="24"/>
        </w:rPr>
      </w:pPr>
      <w:r>
        <w:rPr>
          <w:rFonts w:ascii="Times New Roman" w:hAnsi="Times New Roman" w:cs="Times New Roman"/>
          <w:b/>
          <w:sz w:val="24"/>
          <w:szCs w:val="24"/>
        </w:rPr>
        <w:t>Label of X-axis</w:t>
      </w:r>
    </w:p>
    <w:p>
      <w:pPr>
        <w:tabs>
          <w:tab w:val="left" w:pos="5927"/>
        </w:tabs>
        <w:rPr>
          <w:rFonts w:ascii="Times New Roman" w:hAnsi="Times New Roman" w:cs="Times New Roman"/>
          <w:sz w:val="24"/>
          <w:szCs w:val="24"/>
        </w:rPr>
      </w:pPr>
      <w:r>
        <w:rPr>
          <w:rFonts w:ascii="Times New Roman" w:hAnsi="Times New Roman" w:cs="Times New Roman"/>
          <w:sz w:val="24"/>
          <w:szCs w:val="24"/>
        </w:rPr>
        <w:t xml:space="preserve">              Gro</w:t>
      </w:r>
      <w:r>
        <w:rPr>
          <w:rFonts w:hint="default" w:ascii="Times New Roman" w:hAnsi="Times New Roman" w:cs="Times New Roman"/>
          <w:sz w:val="24"/>
          <w:szCs w:val="24"/>
          <w:lang w:val="en-US"/>
        </w:rPr>
        <w:t>w</w:t>
      </w:r>
      <w:r>
        <w:rPr>
          <w:rFonts w:ascii="Times New Roman" w:hAnsi="Times New Roman" w:cs="Times New Roman"/>
          <w:sz w:val="24"/>
          <w:szCs w:val="24"/>
        </w:rPr>
        <w:t>th medium</w:t>
      </w:r>
      <w:bookmarkStart w:id="0" w:name="_GoBack"/>
      <w:bookmarkEnd w:id="0"/>
    </w:p>
    <w:p>
      <w:pPr>
        <w:tabs>
          <w:tab w:val="left" w:pos="5927"/>
        </w:tabs>
        <w:rPr>
          <w:rFonts w:ascii="Times New Roman" w:hAnsi="Times New Roman" w:cs="Times New Roman"/>
          <w:b/>
          <w:sz w:val="24"/>
          <w:szCs w:val="24"/>
        </w:rPr>
      </w:pPr>
      <w:r>
        <w:rPr>
          <w:rFonts w:ascii="Times New Roman" w:hAnsi="Times New Roman" w:cs="Times New Roman"/>
          <w:b/>
          <w:sz w:val="24"/>
          <w:szCs w:val="24"/>
        </w:rPr>
        <w:t>List of controls</w:t>
      </w:r>
    </w:p>
    <w:p>
      <w:pPr>
        <w:tabs>
          <w:tab w:val="left" w:pos="5927"/>
        </w:tabs>
        <w:rPr>
          <w:rFonts w:ascii="Times New Roman" w:hAnsi="Times New Roman" w:cs="Times New Roman"/>
          <w:sz w:val="24"/>
          <w:szCs w:val="24"/>
        </w:rPr>
      </w:pPr>
      <w:r>
        <w:rPr>
          <w:rFonts w:ascii="Times New Roman" w:hAnsi="Times New Roman" w:cs="Times New Roman"/>
          <w:sz w:val="24"/>
          <w:szCs w:val="24"/>
        </w:rPr>
        <w:t xml:space="preserve">     The one with the same setup without the yeast will be at 0.</w:t>
      </w:r>
    </w:p>
    <w:p>
      <w:pPr>
        <w:tabs>
          <w:tab w:val="left" w:pos="5927"/>
        </w:tabs>
        <w:rPr>
          <w:rFonts w:ascii="Times New Roman" w:hAnsi="Times New Roman" w:cs="Times New Roman"/>
          <w:sz w:val="24"/>
          <w:szCs w:val="24"/>
        </w:rPr>
      </w:pPr>
      <w:r>
        <w:rPr>
          <w:rFonts w:ascii="Times New Roman" w:hAnsi="Times New Roman" w:cs="Times New Roman"/>
          <w:sz w:val="24"/>
          <w:szCs w:val="24"/>
        </w:rPr>
        <w:t xml:space="preserve">     The one with the same setup without bacteria, E. coli, will be at a maximum, five due to marked promoters in the medium that was not transformed.</w:t>
      </w:r>
    </w:p>
    <w:p>
      <w:pPr>
        <w:tabs>
          <w:tab w:val="left" w:pos="5927"/>
        </w:tabs>
        <w:rPr>
          <w:rFonts w:ascii="Times New Roman" w:hAnsi="Times New Roman" w:cs="Times New Roman"/>
          <w:sz w:val="24"/>
          <w:szCs w:val="24"/>
        </w:rPr>
      </w:pPr>
    </w:p>
    <w:p/>
    <w:p>
      <w:pPr>
        <w:rPr>
          <w:b/>
        </w:rPr>
      </w:pPr>
    </w:p>
    <w:p>
      <w:pPr>
        <w:shd w:val="clear" w:color="auto" w:fill="FFFFFF"/>
        <w:spacing w:after="0" w:line="240" w:lineRule="auto"/>
        <w:ind w:left="2880" w:firstLine="72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References</w:t>
      </w:r>
    </w:p>
    <w:p>
      <w:pPr>
        <w:shd w:val="clear" w:color="auto" w:fill="FFFFFF"/>
        <w:spacing w:after="0" w:line="550" w:lineRule="atLeast"/>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Born, J., &amp; Pfeifer*, F. (2019, May 29). </w:t>
      </w:r>
      <w:r>
        <w:rPr>
          <w:rFonts w:ascii="Times New Roman" w:hAnsi="Times New Roman" w:eastAsia="Times New Roman" w:cs="Times New Roman"/>
          <w:i/>
          <w:iCs/>
          <w:color w:val="000000"/>
          <w:sz w:val="24"/>
          <w:szCs w:val="24"/>
        </w:rPr>
        <w:t>Improved GFP variants to study gene expression in Haloarchaea</w:t>
      </w:r>
      <w:r>
        <w:rPr>
          <w:rFonts w:ascii="Times New Roman" w:hAnsi="Times New Roman" w:eastAsia="Times New Roman" w:cs="Times New Roman"/>
          <w:color w:val="000000"/>
          <w:sz w:val="24"/>
          <w:szCs w:val="24"/>
        </w:rPr>
        <w:t>. </w:t>
      </w:r>
      <w:r>
        <w:fldChar w:fldCharType="begin"/>
      </w:r>
      <w:r>
        <w:instrText xml:space="preserve"> HYPERLINK "https://doi.org/10.3389/fmicb.2019.01200" </w:instrText>
      </w:r>
      <w:r>
        <w:fldChar w:fldCharType="separate"/>
      </w:r>
      <w:r>
        <w:rPr>
          <w:rFonts w:ascii="inherit" w:hAnsi="inherit" w:eastAsia="Times New Roman" w:cs="Times New Roman"/>
          <w:color w:val="000000"/>
          <w:sz w:val="24"/>
          <w:szCs w:val="24"/>
          <w:u w:val="single"/>
        </w:rPr>
        <w:t>https://doi.org/10.3389/fmicb.2019.01200</w:t>
      </w:r>
      <w:r>
        <w:rPr>
          <w:rFonts w:ascii="inherit" w:hAnsi="inherit" w:eastAsia="Times New Roman" w:cs="Times New Roman"/>
          <w:color w:val="000000"/>
          <w:sz w:val="24"/>
          <w:szCs w:val="24"/>
          <w:u w:val="single"/>
        </w:rPr>
        <w:fldChar w:fldCharType="end"/>
      </w:r>
    </w:p>
    <w:p>
      <w:pPr>
        <w:shd w:val="clear" w:color="auto" w:fill="FFFFFF"/>
        <w:spacing w:after="0" w:line="550" w:lineRule="atLeast"/>
        <w:ind w:left="720" w:right="75"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Martinez-Vaz, B. M., Makarevitch, I., &amp; Stensland, S. (2010, May 20). </w:t>
      </w:r>
      <w:r>
        <w:rPr>
          <w:rFonts w:ascii="Times New Roman" w:hAnsi="Times New Roman" w:eastAsia="Times New Roman" w:cs="Times New Roman"/>
          <w:i/>
          <w:iCs/>
          <w:color w:val="000000"/>
          <w:sz w:val="24"/>
          <w:szCs w:val="24"/>
        </w:rPr>
        <w:t>Studying Gene Expression: Database Searches and Promoter Fusions to Investigate Transcriptional Regulation in Bacteria†</w:t>
      </w:r>
      <w:r>
        <w:rPr>
          <w:rFonts w:ascii="Times New Roman" w:hAnsi="Times New Roman" w:eastAsia="Times New Roman" w:cs="Times New Roman"/>
          <w:color w:val="000000"/>
          <w:sz w:val="24"/>
          <w:szCs w:val="24"/>
        </w:rPr>
        <w:t>. </w:t>
      </w:r>
      <w:r>
        <w:fldChar w:fldCharType="begin"/>
      </w:r>
      <w:r>
        <w:instrText xml:space="preserve"> HYPERLINK "https://dx.doi.org/10.1128%2Fjmbe.v11.i1.101" </w:instrText>
      </w:r>
      <w:r>
        <w:fldChar w:fldCharType="separate"/>
      </w:r>
      <w:r>
        <w:rPr>
          <w:rFonts w:ascii="inherit" w:hAnsi="inherit" w:eastAsia="Times New Roman" w:cs="Times New Roman"/>
          <w:color w:val="000000"/>
          <w:sz w:val="24"/>
          <w:szCs w:val="24"/>
          <w:u w:val="single"/>
        </w:rPr>
        <w:t>https://dx.doi.org/10.1128%2Fjmbe.v11.i1.101</w:t>
      </w:r>
      <w:r>
        <w:rPr>
          <w:rFonts w:ascii="inherit" w:hAnsi="inherit" w:eastAsia="Times New Roman" w:cs="Times New Roman"/>
          <w:color w:val="000000"/>
          <w:sz w:val="24"/>
          <w:szCs w:val="24"/>
          <w:u w:val="single"/>
        </w:rPr>
        <w:fldChar w:fldCharType="end"/>
      </w:r>
    </w:p>
    <w:p>
      <w:pPr>
        <w:shd w:val="clear" w:color="auto" w:fill="FFFFFF"/>
        <w:spacing w:after="0" w:line="550" w:lineRule="atLeast"/>
        <w:ind w:left="720" w:right="75" w:hanging="720"/>
        <w:rPr>
          <w:rFonts w:ascii="Times New Roman" w:hAnsi="Times New Roman" w:cs="Times New Roman"/>
          <w:sz w:val="24"/>
          <w:szCs w:val="24"/>
        </w:rPr>
      </w:pPr>
      <w:r>
        <w:rPr>
          <w:rFonts w:ascii="Times New Roman" w:hAnsi="Times New Roman" w:eastAsia="Times New Roman" w:cs="Times New Roman"/>
          <w:color w:val="000000"/>
          <w:sz w:val="24"/>
          <w:szCs w:val="24"/>
        </w:rPr>
        <w:t>Wons, E., Koscielniak, D., Szadkowska, M., &amp; Sektas, M. (2018, September 21). </w:t>
      </w:r>
      <w:r>
        <w:rPr>
          <w:rFonts w:ascii="Times New Roman" w:hAnsi="Times New Roman" w:cs="Times New Roman"/>
          <w:sz w:val="24"/>
          <w:szCs w:val="24"/>
        </w:rPr>
        <w:t xml:space="preserve"> </w:t>
      </w:r>
    </w:p>
    <w:p/>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7465963"/>
      <w:docPartObj>
        <w:docPartGallery w:val="autotext"/>
      </w:docPartObj>
    </w:sdtPr>
    <w:sdtEndPr>
      <w:rPr>
        <w:rFonts w:ascii="Times New Roman" w:hAnsi="Times New Roman" w:cs="Times New Roman"/>
        <w:sz w:val="24"/>
        <w:szCs w:val="24"/>
      </w:rPr>
    </w:sdtEndPr>
    <w:sdtContent>
      <w:p>
        <w:pPr>
          <w:pStyle w:val="4"/>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E0AAE"/>
    <w:rsid w:val="1A36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pPr>
    <w:rPr>
      <w:rFonts w:ascii="Calibri" w:hAnsi="Calibri" w:eastAsia="Calibri" w:cs="SimSun"/>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2021-04-22T01:40:00Z</dcterms:created>
  <dc:creator>user</dc:creator>
  <cp:lastModifiedBy>user</cp:lastModifiedBy>
  <dcterms:modified xsi:type="dcterms:W3CDTF">2021-04-22T09:05:50Z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